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8FC" w:rsidRDefault="00D738FC" w:rsidP="00D738FC">
      <w:pPr>
        <w:jc w:val="center"/>
      </w:pPr>
    </w:p>
    <w:p w:rsidR="00D738FC" w:rsidRPr="00CB1A0C" w:rsidRDefault="00D738FC" w:rsidP="00D738FC">
      <w:pPr>
        <w:ind w:left="1440" w:hanging="1440"/>
        <w:rPr>
          <w:b/>
        </w:rPr>
      </w:pPr>
      <w:r w:rsidRPr="00CB1A0C">
        <w:rPr>
          <w:b/>
        </w:rPr>
        <w:t xml:space="preserve">TO: </w:t>
      </w:r>
      <w:r w:rsidRPr="00CB1A0C">
        <w:rPr>
          <w:b/>
        </w:rPr>
        <w:tab/>
      </w:r>
      <w:r>
        <w:rPr>
          <w:b/>
        </w:rPr>
        <w:t>DUPAGE IL 514 HOMELESS CONTINUUM MEMBERS and STAKEHOLDERS</w:t>
      </w:r>
    </w:p>
    <w:p w:rsidR="00D738FC" w:rsidRPr="00CB1A0C" w:rsidRDefault="00D738FC" w:rsidP="00D738FC">
      <w:pPr>
        <w:rPr>
          <w:b/>
        </w:rPr>
      </w:pPr>
    </w:p>
    <w:p w:rsidR="00D738FC" w:rsidRPr="00CB1A0C" w:rsidRDefault="00D738FC" w:rsidP="00D738FC">
      <w:pPr>
        <w:ind w:left="1440" w:hanging="1440"/>
        <w:rPr>
          <w:b/>
        </w:rPr>
      </w:pPr>
      <w:r w:rsidRPr="00CB1A0C">
        <w:rPr>
          <w:b/>
        </w:rPr>
        <w:t xml:space="preserve">FROM: </w:t>
      </w:r>
      <w:r w:rsidRPr="00CB1A0C">
        <w:rPr>
          <w:b/>
        </w:rPr>
        <w:tab/>
      </w:r>
      <w:r>
        <w:rPr>
          <w:b/>
        </w:rPr>
        <w:t>DUPAGE COUNTY COMMUNITY SERVICES, Collaborative Applicant</w:t>
      </w:r>
    </w:p>
    <w:p w:rsidR="00D738FC" w:rsidRPr="00CB1A0C" w:rsidRDefault="00D738FC" w:rsidP="00D738FC">
      <w:pPr>
        <w:rPr>
          <w:b/>
        </w:rPr>
      </w:pPr>
    </w:p>
    <w:p w:rsidR="00D738FC" w:rsidRPr="00CB1A0C" w:rsidRDefault="00D738FC" w:rsidP="00D738FC">
      <w:pPr>
        <w:rPr>
          <w:b/>
        </w:rPr>
      </w:pPr>
      <w:r w:rsidRPr="00CB1A0C">
        <w:rPr>
          <w:b/>
        </w:rPr>
        <w:t>RE:</w:t>
      </w:r>
      <w:r w:rsidRPr="00CB1A0C">
        <w:rPr>
          <w:b/>
        </w:rPr>
        <w:tab/>
      </w:r>
      <w:r w:rsidRPr="00CB1A0C">
        <w:rPr>
          <w:b/>
        </w:rPr>
        <w:tab/>
        <w:t>20</w:t>
      </w:r>
      <w:r>
        <w:rPr>
          <w:b/>
        </w:rPr>
        <w:t>18</w:t>
      </w:r>
      <w:r w:rsidRPr="00CB1A0C">
        <w:rPr>
          <w:b/>
        </w:rPr>
        <w:t xml:space="preserve"> NOFA</w:t>
      </w:r>
      <w:r>
        <w:rPr>
          <w:b/>
        </w:rPr>
        <w:t xml:space="preserve"> HIGHLIGHTS</w:t>
      </w:r>
    </w:p>
    <w:p w:rsidR="00D738FC" w:rsidRPr="00CB1A0C" w:rsidRDefault="00D738FC" w:rsidP="00D738FC">
      <w:pPr>
        <w:rPr>
          <w:b/>
        </w:rPr>
      </w:pPr>
    </w:p>
    <w:p w:rsidR="00D738FC" w:rsidRPr="00CB1A0C" w:rsidRDefault="00D738FC" w:rsidP="00D738FC">
      <w:pPr>
        <w:rPr>
          <w:b/>
        </w:rPr>
      </w:pPr>
      <w:r w:rsidRPr="00CB1A0C">
        <w:rPr>
          <w:b/>
        </w:rPr>
        <w:t xml:space="preserve">DATE: </w:t>
      </w:r>
      <w:r w:rsidRPr="00CB1A0C">
        <w:rPr>
          <w:b/>
        </w:rPr>
        <w:tab/>
      </w:r>
      <w:r>
        <w:rPr>
          <w:b/>
        </w:rPr>
        <w:t xml:space="preserve">July 9, </w:t>
      </w:r>
      <w:r w:rsidRPr="00CB1A0C">
        <w:rPr>
          <w:b/>
        </w:rPr>
        <w:t>20</w:t>
      </w:r>
      <w:r>
        <w:rPr>
          <w:b/>
        </w:rPr>
        <w:t>18</w:t>
      </w:r>
    </w:p>
    <w:p w:rsidR="00D738FC" w:rsidRDefault="00D738FC" w:rsidP="00D738FC"/>
    <w:p w:rsidR="00D738FC" w:rsidRPr="00756384" w:rsidRDefault="00D738FC" w:rsidP="00D738FC">
      <w:pPr>
        <w:pStyle w:val="NormalWeb"/>
        <w:rPr>
          <w:sz w:val="22"/>
          <w:szCs w:val="22"/>
        </w:rPr>
      </w:pPr>
      <w:r w:rsidRPr="00756384">
        <w:rPr>
          <w:sz w:val="22"/>
          <w:szCs w:val="22"/>
        </w:rPr>
        <w:t xml:space="preserve">HUD published the FY2018 Continuum of Care (CoC) Funding Notice for Homeless Assistance Grants on June 20, 2018.  Approximately $2.1 billion is available. The </w:t>
      </w:r>
      <w:hyperlink r:id="rId7" w:history="1">
        <w:r w:rsidRPr="00756384">
          <w:rPr>
            <w:rStyle w:val="Hyperlink"/>
            <w:sz w:val="22"/>
            <w:szCs w:val="22"/>
          </w:rPr>
          <w:t>Notice of Funding Availability (NOFA) for the Fiscal Year (FY) 2018 Continuum of Care (CoC) Program Competition</w:t>
        </w:r>
      </w:hyperlink>
      <w:r w:rsidRPr="00756384">
        <w:rPr>
          <w:sz w:val="22"/>
          <w:szCs w:val="22"/>
        </w:rPr>
        <w:t xml:space="preserve"> has been posted to the </w:t>
      </w:r>
      <w:hyperlink r:id="rId8" w:history="1">
        <w:r w:rsidRPr="00756384">
          <w:rPr>
            <w:rStyle w:val="Hyperlink"/>
            <w:sz w:val="22"/>
            <w:szCs w:val="22"/>
          </w:rPr>
          <w:t>FY 2018 CoC Program Competition: Funding Availability</w:t>
        </w:r>
      </w:hyperlink>
      <w:r w:rsidRPr="00756384">
        <w:rPr>
          <w:sz w:val="22"/>
          <w:szCs w:val="22"/>
        </w:rPr>
        <w:t xml:space="preserve"> page on the HUD Exchange. Additional resources  such as detailed instructions and navigation guides are available on the </w:t>
      </w:r>
      <w:hyperlink r:id="rId9" w:history="1">
        <w:r w:rsidRPr="00756384">
          <w:rPr>
            <w:rStyle w:val="Emphasis"/>
            <w:color w:val="0000FF"/>
            <w:sz w:val="22"/>
            <w:szCs w:val="22"/>
            <w:u w:val="single"/>
          </w:rPr>
          <w:t>e-snaps</w:t>
        </w:r>
        <w:r w:rsidRPr="00756384">
          <w:rPr>
            <w:rStyle w:val="Hyperlink"/>
            <w:sz w:val="22"/>
            <w:szCs w:val="22"/>
          </w:rPr>
          <w:t xml:space="preserve"> page</w:t>
        </w:r>
      </w:hyperlink>
      <w:r w:rsidRPr="00756384">
        <w:rPr>
          <w:sz w:val="22"/>
          <w:szCs w:val="22"/>
        </w:rPr>
        <w:t xml:space="preserve"> on the HUD Exchange.</w:t>
      </w:r>
    </w:p>
    <w:p w:rsidR="00D738FC" w:rsidRPr="00756384" w:rsidRDefault="00D738FC" w:rsidP="00D738FC">
      <w:pPr>
        <w:pStyle w:val="NormalWeb"/>
        <w:spacing w:line="300" w:lineRule="atLeast"/>
        <w:rPr>
          <w:bCs/>
          <w:sz w:val="22"/>
          <w:szCs w:val="22"/>
        </w:rPr>
      </w:pPr>
      <w:r w:rsidRPr="00756384">
        <w:rPr>
          <w:color w:val="000000"/>
          <w:sz w:val="22"/>
          <w:szCs w:val="22"/>
        </w:rPr>
        <w:t xml:space="preserve">The FY 2018 Continuum of Care (CoC) Consolidated Application (CoC Application and CoC Priority Listing) and project applications are now available in </w:t>
      </w:r>
      <w:r w:rsidRPr="00756384">
        <w:rPr>
          <w:rStyle w:val="Emphasis"/>
          <w:color w:val="000000"/>
          <w:sz w:val="22"/>
          <w:szCs w:val="22"/>
        </w:rPr>
        <w:t>e-snaps</w:t>
      </w:r>
      <w:r w:rsidRPr="00756384">
        <w:rPr>
          <w:color w:val="000000"/>
          <w:sz w:val="22"/>
          <w:szCs w:val="22"/>
        </w:rPr>
        <w:t xml:space="preserve">. </w:t>
      </w:r>
      <w:r w:rsidRPr="00756384">
        <w:rPr>
          <w:sz w:val="22"/>
          <w:szCs w:val="22"/>
        </w:rPr>
        <w:t xml:space="preserve"> </w:t>
      </w:r>
      <w:r w:rsidRPr="00756384">
        <w:rPr>
          <w:bCs/>
          <w:sz w:val="22"/>
          <w:szCs w:val="22"/>
        </w:rPr>
        <w:t>A schedule with Project application deadlines is being sent to all CoC members. The entire CoC application due date is September 18, 2018.</w:t>
      </w:r>
    </w:p>
    <w:p w:rsidR="00D738FC" w:rsidRPr="00756384" w:rsidRDefault="00D738FC" w:rsidP="00D738FC">
      <w:pPr>
        <w:pStyle w:val="NormalWeb"/>
        <w:spacing w:line="270" w:lineRule="atLeast"/>
        <w:rPr>
          <w:color w:val="000000"/>
          <w:sz w:val="22"/>
          <w:szCs w:val="22"/>
        </w:rPr>
      </w:pPr>
      <w:r w:rsidRPr="00756384">
        <w:rPr>
          <w:color w:val="000000"/>
          <w:sz w:val="22"/>
          <w:szCs w:val="22"/>
        </w:rPr>
        <w:t xml:space="preserve">Note that there are changes to the project applications.  These changes will be covered at the Application Workshop scheduled for </w:t>
      </w:r>
      <w:r w:rsidRPr="00E127C7">
        <w:rPr>
          <w:color w:val="000000"/>
          <w:sz w:val="22"/>
          <w:szCs w:val="22"/>
        </w:rPr>
        <w:t>July 17, 2018 at 1:30 pm.</w:t>
      </w:r>
    </w:p>
    <w:p w:rsidR="00D738FC" w:rsidRPr="00756384" w:rsidRDefault="00D738FC" w:rsidP="00D738FC">
      <w:pPr>
        <w:pStyle w:val="NormalWeb"/>
        <w:spacing w:line="270" w:lineRule="atLeast"/>
        <w:rPr>
          <w:color w:val="000000"/>
          <w:sz w:val="22"/>
          <w:szCs w:val="22"/>
        </w:rPr>
      </w:pPr>
      <w:r w:rsidRPr="00756384">
        <w:rPr>
          <w:sz w:val="22"/>
          <w:szCs w:val="22"/>
        </w:rPr>
        <w:t xml:space="preserve">The list below highlights some important information regarding new concepts for the FY 2018 CoC Program Competition. A full list of </w:t>
      </w:r>
      <w:hyperlink r:id="rId10" w:history="1">
        <w:r w:rsidRPr="00756384">
          <w:rPr>
            <w:rStyle w:val="Hyperlink"/>
            <w:sz w:val="22"/>
            <w:szCs w:val="22"/>
          </w:rPr>
          <w:t>new, changed, and highlighted information</w:t>
        </w:r>
      </w:hyperlink>
      <w:r w:rsidRPr="00756384">
        <w:rPr>
          <w:sz w:val="22"/>
          <w:szCs w:val="22"/>
        </w:rPr>
        <w:t xml:space="preserve"> is on the HUD Exchange and can also be found on the </w:t>
      </w:r>
      <w:hyperlink r:id="rId11" w:history="1">
        <w:r w:rsidRPr="00756384">
          <w:rPr>
            <w:rStyle w:val="Hyperlink"/>
            <w:sz w:val="22"/>
            <w:szCs w:val="22"/>
          </w:rPr>
          <w:t>FY 2018 CoC Program Competition: Funding Availability page</w:t>
        </w:r>
      </w:hyperlink>
    </w:p>
    <w:p w:rsidR="00D738FC" w:rsidRPr="00756384" w:rsidRDefault="00D738FC" w:rsidP="00D738FC">
      <w:pPr>
        <w:rPr>
          <w:b/>
          <w:u w:val="single"/>
        </w:rPr>
      </w:pPr>
      <w:r w:rsidRPr="00756384">
        <w:rPr>
          <w:b/>
          <w:u w:val="single"/>
        </w:rPr>
        <w:t xml:space="preserve">FUNDING AMOUNTS </w:t>
      </w:r>
    </w:p>
    <w:p w:rsidR="00D738FC" w:rsidRPr="00756384" w:rsidRDefault="00D738FC" w:rsidP="00D738FC">
      <w:r w:rsidRPr="00756384">
        <w:t>The funding amounts for the 2018 competition include the following:</w:t>
      </w:r>
    </w:p>
    <w:p w:rsidR="00D738FC" w:rsidRPr="00756384" w:rsidRDefault="00D738FC" w:rsidP="00D738FC">
      <w:pPr>
        <w:rPr>
          <w:b/>
        </w:rPr>
      </w:pPr>
    </w:p>
    <w:p w:rsidR="00D738FC" w:rsidRDefault="00D738FC" w:rsidP="00D738FC">
      <w:r w:rsidRPr="00756384">
        <w:rPr>
          <w:b/>
        </w:rPr>
        <w:t>ANNUAL RENEWAL DEMAND (ARD) –</w:t>
      </w:r>
      <w:r w:rsidRPr="00756384">
        <w:t xml:space="preserve">The total amount for all projects eligible for renewal in the 2018 competition based on the HUD approved Grants Inventory Worksheet. The </w:t>
      </w:r>
      <w:r>
        <w:t>DuPage</w:t>
      </w:r>
      <w:r w:rsidRPr="00756384">
        <w:t xml:space="preserve"> CoC Annual Renewal Demand (ARD) amount approved was </w:t>
      </w:r>
      <w:r w:rsidRPr="00214CD2">
        <w:rPr>
          <w:b/>
        </w:rPr>
        <w:t>$</w:t>
      </w:r>
      <w:r w:rsidR="00214CD2" w:rsidRPr="00214CD2">
        <w:rPr>
          <w:b/>
        </w:rPr>
        <w:t>4,526,372</w:t>
      </w:r>
      <w:r w:rsidRPr="00214CD2">
        <w:rPr>
          <w:b/>
        </w:rPr>
        <w:t>.</w:t>
      </w:r>
      <w:r w:rsidRPr="00214CD2">
        <w:t xml:space="preserve"> </w:t>
      </w:r>
    </w:p>
    <w:p w:rsidR="002C6D4D" w:rsidRPr="00756384" w:rsidRDefault="002C6D4D" w:rsidP="00D738FC">
      <w:pPr>
        <w:rPr>
          <w:color w:val="000000"/>
        </w:rPr>
      </w:pPr>
    </w:p>
    <w:p w:rsidR="00D738FC" w:rsidRPr="00756384" w:rsidRDefault="00D738FC" w:rsidP="00D738FC">
      <w:pPr>
        <w:rPr>
          <w:b/>
          <w:color w:val="000000"/>
        </w:rPr>
      </w:pPr>
      <w:r w:rsidRPr="00756384">
        <w:rPr>
          <w:b/>
          <w:color w:val="000000"/>
        </w:rPr>
        <w:t xml:space="preserve">NEW PROJECTS CREATED THROUGH REALLOCATION OR BONUS  </w:t>
      </w:r>
    </w:p>
    <w:p w:rsidR="00D738FC" w:rsidRPr="00756384" w:rsidRDefault="00D738FC" w:rsidP="00D738FC">
      <w:r w:rsidRPr="00756384">
        <w:t xml:space="preserve">New projects may be created through the reallocation process, bonus funds, or a combination of reallocation and bonus funds (NEW). </w:t>
      </w:r>
      <w:r w:rsidR="003C06C5">
        <w:t xml:space="preserve"> </w:t>
      </w:r>
      <w:r w:rsidRPr="00756384">
        <w:t>There is an amount allocated to each CoC for bonus projects that is equal to 6% of the Final Pro Rata Need.</w:t>
      </w:r>
      <w:r w:rsidRPr="00756384">
        <w:rPr>
          <w:b/>
        </w:rPr>
        <w:t xml:space="preserve"> This amount is </w:t>
      </w:r>
      <w:r w:rsidRPr="00214CD2">
        <w:rPr>
          <w:b/>
        </w:rPr>
        <w:t>$</w:t>
      </w:r>
      <w:r w:rsidR="00214CD2" w:rsidRPr="00214CD2">
        <w:rPr>
          <w:b/>
        </w:rPr>
        <w:t>271,582</w:t>
      </w:r>
      <w:r w:rsidRPr="00214CD2">
        <w:rPr>
          <w:b/>
        </w:rPr>
        <w:t>.</w:t>
      </w:r>
      <w:r w:rsidRPr="00756384">
        <w:rPr>
          <w:b/>
        </w:rPr>
        <w:t xml:space="preserve"> </w:t>
      </w:r>
      <w:r w:rsidR="00214CD2">
        <w:rPr>
          <w:b/>
        </w:rPr>
        <w:t xml:space="preserve"> </w:t>
      </w:r>
      <w:r w:rsidRPr="00756384">
        <w:rPr>
          <w:b/>
        </w:rPr>
        <w:t xml:space="preserve">Multiple projects are allowed. </w:t>
      </w:r>
      <w:r w:rsidRPr="00756384">
        <w:t xml:space="preserve">All Bonus/reallocation project applications </w:t>
      </w:r>
      <w:r w:rsidRPr="00756384">
        <w:rPr>
          <w:u w:val="single"/>
        </w:rPr>
        <w:t>are</w:t>
      </w:r>
      <w:r w:rsidRPr="00756384">
        <w:t xml:space="preserve"> included in the project tiering. </w:t>
      </w:r>
    </w:p>
    <w:p w:rsidR="00D738FC" w:rsidRPr="00756384" w:rsidRDefault="00D738FC" w:rsidP="00D738FC">
      <w:pPr>
        <w:rPr>
          <w:b/>
        </w:rPr>
      </w:pPr>
      <w:r w:rsidRPr="00756384">
        <w:rPr>
          <w:b/>
        </w:rPr>
        <w:t>For all new bonus and reallocation projects, 5 types of projects are allowed:</w:t>
      </w:r>
    </w:p>
    <w:p w:rsidR="00D738FC" w:rsidRPr="00756384" w:rsidRDefault="00D738FC" w:rsidP="00D738FC">
      <w:pPr>
        <w:pStyle w:val="ListParagraph"/>
        <w:numPr>
          <w:ilvl w:val="0"/>
          <w:numId w:val="2"/>
        </w:numPr>
        <w:jc w:val="both"/>
      </w:pPr>
      <w:r w:rsidRPr="00756384">
        <w:t xml:space="preserve">Permanent supportive housing for chronically homeless that meet Dedicated PLUS or the standard dedicated chronic population. See NOFA p. 16 </w:t>
      </w:r>
    </w:p>
    <w:p w:rsidR="00D738FC" w:rsidRPr="00756384" w:rsidRDefault="00D738FC" w:rsidP="00D738FC">
      <w:pPr>
        <w:pStyle w:val="ListParagraph"/>
        <w:numPr>
          <w:ilvl w:val="0"/>
          <w:numId w:val="2"/>
        </w:numPr>
        <w:jc w:val="both"/>
      </w:pPr>
      <w:r w:rsidRPr="00756384">
        <w:t>Rapid Rehousing projects that serve individuals, families and unaccompanied youth who meet the NOFA criteria. See NOFA p.  34</w:t>
      </w:r>
    </w:p>
    <w:p w:rsidR="00D738FC" w:rsidRPr="00756384" w:rsidRDefault="00D738FC" w:rsidP="00D738FC">
      <w:pPr>
        <w:pStyle w:val="ListParagraph"/>
        <w:numPr>
          <w:ilvl w:val="0"/>
          <w:numId w:val="2"/>
        </w:numPr>
        <w:jc w:val="both"/>
      </w:pPr>
      <w:r w:rsidRPr="00756384">
        <w:t>Joint TH and PH-RRH component project – See NOFA criteria p.18</w:t>
      </w:r>
    </w:p>
    <w:p w:rsidR="00D738FC" w:rsidRPr="00756384" w:rsidRDefault="00D738FC" w:rsidP="00D738FC">
      <w:pPr>
        <w:pStyle w:val="ListParagraph"/>
        <w:numPr>
          <w:ilvl w:val="0"/>
          <w:numId w:val="2"/>
        </w:numPr>
        <w:jc w:val="both"/>
      </w:pPr>
      <w:r w:rsidRPr="00756384">
        <w:t>Dedicated HMIS only by the current HMIS Lead</w:t>
      </w:r>
    </w:p>
    <w:p w:rsidR="00D738FC" w:rsidRPr="00756384" w:rsidRDefault="00D738FC" w:rsidP="00D738FC">
      <w:pPr>
        <w:pStyle w:val="ListParagraph"/>
        <w:numPr>
          <w:ilvl w:val="0"/>
          <w:numId w:val="2"/>
        </w:numPr>
        <w:jc w:val="both"/>
      </w:pPr>
      <w:r w:rsidRPr="00756384">
        <w:t>Coordinated Entry (supportive services only) to develop or operate a coordinated entry system.</w:t>
      </w:r>
    </w:p>
    <w:p w:rsidR="00D738FC" w:rsidRPr="00756384" w:rsidRDefault="00D738FC" w:rsidP="00D738FC">
      <w:pPr>
        <w:rPr>
          <w:b/>
          <w:color w:val="000000"/>
        </w:rPr>
      </w:pPr>
    </w:p>
    <w:p w:rsidR="00D738FC" w:rsidRDefault="00D738FC" w:rsidP="00D738FC"/>
    <w:p w:rsidR="00D738FC" w:rsidRPr="00756384" w:rsidRDefault="00D738FC" w:rsidP="00D738FC">
      <w:r w:rsidRPr="00756384">
        <w:t> </w:t>
      </w:r>
      <w:r w:rsidRPr="00756384">
        <w:rPr>
          <w:b/>
          <w:color w:val="000000"/>
        </w:rPr>
        <w:t>NEW PROJECTS CREATED THROUGH DOMESTIC VIOLENCE BONUS FUNDS</w:t>
      </w:r>
    </w:p>
    <w:p w:rsidR="00D738FC" w:rsidRPr="00E127C7" w:rsidRDefault="00D738FC" w:rsidP="00D738FC">
      <w:r w:rsidRPr="00E127C7">
        <w:lastRenderedPageBreak/>
        <w:t>There is an additional amount allocated to each CoC for projects dedicated to victims of domestic violence. This amount is 10 percent of the Preliminary Pro Rata Need which is</w:t>
      </w:r>
      <w:r w:rsidRPr="00214CD2">
        <w:rPr>
          <w:b/>
        </w:rPr>
        <w:t xml:space="preserve"> $</w:t>
      </w:r>
      <w:r w:rsidR="00214CD2" w:rsidRPr="00214CD2">
        <w:rPr>
          <w:b/>
        </w:rPr>
        <w:t>279,183</w:t>
      </w:r>
      <w:r w:rsidRPr="00E127C7">
        <w:t xml:space="preserve"> to create up to three DV Bonus Projects to serve survivors of domestic violence, dating violence, and stalking. (Section II.B.3). The eligible population is survivors of domestic violence who are defined as homeless at 24CFR 578.3 (4). All DV projects must be for a grant term of 1 year.  These projects will be selected based on CoC Score plus other criterion noted in Section II.B.10.d. (pp.12-13) using a 100 point scale. CoCs may create up to </w:t>
      </w:r>
      <w:r w:rsidRPr="00E127C7">
        <w:rPr>
          <w:u w:val="single"/>
        </w:rPr>
        <w:t>one of each</w:t>
      </w:r>
      <w:r w:rsidRPr="00E127C7">
        <w:t xml:space="preserve"> of the following project types: </w:t>
      </w:r>
    </w:p>
    <w:p w:rsidR="00D738FC" w:rsidRPr="00E127C7" w:rsidRDefault="00D738FC" w:rsidP="00D738FC">
      <w:pPr>
        <w:pStyle w:val="ListParagraph"/>
        <w:numPr>
          <w:ilvl w:val="0"/>
          <w:numId w:val="3"/>
        </w:numPr>
        <w:ind w:left="0"/>
      </w:pPr>
      <w:r w:rsidRPr="00E127C7">
        <w:t>Rapid Rehousing (RRH);</w:t>
      </w:r>
    </w:p>
    <w:p w:rsidR="00D738FC" w:rsidRPr="00E127C7" w:rsidRDefault="00D738FC" w:rsidP="00D738FC">
      <w:pPr>
        <w:pStyle w:val="ListParagraph"/>
        <w:numPr>
          <w:ilvl w:val="0"/>
          <w:numId w:val="3"/>
        </w:numPr>
        <w:ind w:left="0"/>
      </w:pPr>
      <w:r w:rsidRPr="00E127C7">
        <w:t xml:space="preserve">Joint Transitional Housing and Rapid Rehousing (Joint TH-RRH) </w:t>
      </w:r>
    </w:p>
    <w:p w:rsidR="00D738FC" w:rsidRPr="00756384" w:rsidRDefault="00D738FC" w:rsidP="00D738FC">
      <w:pPr>
        <w:pStyle w:val="ListParagraph"/>
        <w:numPr>
          <w:ilvl w:val="0"/>
          <w:numId w:val="3"/>
        </w:numPr>
        <w:ind w:left="0"/>
      </w:pPr>
      <w:r w:rsidRPr="00756384">
        <w:t xml:space="preserve">Supportive Services Only-Coordinated Entry (SSO-CE) that targets victims of domestic violence. </w:t>
      </w:r>
      <w:r w:rsidRPr="00756384">
        <w:br/>
        <w:t> </w:t>
      </w:r>
    </w:p>
    <w:p w:rsidR="00D738FC" w:rsidRPr="00756384" w:rsidRDefault="00D738FC" w:rsidP="00D738FC">
      <w:pPr>
        <w:rPr>
          <w:color w:val="000000"/>
        </w:rPr>
      </w:pPr>
      <w:r w:rsidRPr="00756384">
        <w:rPr>
          <w:b/>
          <w:color w:val="000000"/>
        </w:rPr>
        <w:t xml:space="preserve">COC PLANNING COSTS – </w:t>
      </w:r>
      <w:r w:rsidRPr="00756384">
        <w:rPr>
          <w:color w:val="000000"/>
        </w:rPr>
        <w:t xml:space="preserve">Eligible costs are related to the collaborative process for an application to HUD, evaluating the outcomes of funded projects, and participating in the jurisdiction's consolidated planning process. The total amount available for this year is </w:t>
      </w:r>
      <w:r w:rsidRPr="002C6D4D">
        <w:rPr>
          <w:b/>
          <w:color w:val="000000"/>
        </w:rPr>
        <w:t>$</w:t>
      </w:r>
      <w:r w:rsidR="00214CD2" w:rsidRPr="002C6D4D">
        <w:rPr>
          <w:b/>
          <w:color w:val="000000"/>
        </w:rPr>
        <w:t>135,791</w:t>
      </w:r>
      <w:r w:rsidRPr="00214CD2">
        <w:rPr>
          <w:color w:val="000000"/>
        </w:rPr>
        <w:t>.</w:t>
      </w:r>
      <w:r w:rsidRPr="00756384">
        <w:rPr>
          <w:color w:val="000000"/>
        </w:rPr>
        <w:t xml:space="preserve">  This is NOT included in Project Tiering. </w:t>
      </w:r>
    </w:p>
    <w:p w:rsidR="00D738FC" w:rsidRPr="00756384" w:rsidRDefault="00D738FC" w:rsidP="00D738FC">
      <w:pPr>
        <w:rPr>
          <w:color w:val="000000"/>
        </w:rPr>
      </w:pPr>
    </w:p>
    <w:p w:rsidR="00D738FC" w:rsidRPr="00756384" w:rsidRDefault="00D738FC" w:rsidP="00D738FC">
      <w:pPr>
        <w:autoSpaceDE w:val="0"/>
        <w:autoSpaceDN w:val="0"/>
        <w:adjustRightInd w:val="0"/>
        <w:ind w:left="72"/>
        <w:rPr>
          <w:b/>
          <w:color w:val="000000"/>
        </w:rPr>
      </w:pPr>
      <w:r w:rsidRPr="00756384">
        <w:rPr>
          <w:b/>
          <w:color w:val="000000"/>
        </w:rPr>
        <w:t>PROJECT TIERING –</w:t>
      </w:r>
      <w:r w:rsidRPr="00756384">
        <w:rPr>
          <w:color w:val="000000"/>
        </w:rPr>
        <w:t xml:space="preserve">HUD continues to require all CoCs to rank all projects in two tiers. The tiers are financial thresholds. </w:t>
      </w:r>
      <w:r w:rsidRPr="00756384">
        <w:rPr>
          <w:b/>
          <w:color w:val="000000"/>
        </w:rPr>
        <w:t xml:space="preserve"> Tier 1 is 94% of the Annual Renewal Demand (ARD).  Tier 2 is the remaining amount from the Annual renewal demand plus any bonus amounts.</w:t>
      </w:r>
      <w:r w:rsidRPr="00756384">
        <w:rPr>
          <w:b/>
          <w:color w:val="000000"/>
          <w:u w:val="single"/>
        </w:rPr>
        <w:t xml:space="preserve"> </w:t>
      </w:r>
      <w:r w:rsidRPr="00756384">
        <w:rPr>
          <w:b/>
          <w:color w:val="000000"/>
        </w:rPr>
        <w:t xml:space="preserve">  Projects that must be ranked include all new reallocation, bonus, DV bonus and renewal projects. </w:t>
      </w:r>
    </w:p>
    <w:p w:rsidR="00D738FC" w:rsidRPr="00756384" w:rsidRDefault="00D738FC" w:rsidP="00D738FC">
      <w:pPr>
        <w:autoSpaceDE w:val="0"/>
        <w:autoSpaceDN w:val="0"/>
        <w:adjustRightInd w:val="0"/>
        <w:ind w:left="72"/>
        <w:rPr>
          <w:b/>
          <w:color w:val="000000"/>
        </w:rPr>
      </w:pPr>
    </w:p>
    <w:p w:rsidR="00D738FC" w:rsidRPr="00756384" w:rsidRDefault="00D738FC" w:rsidP="00D738FC">
      <w:pPr>
        <w:autoSpaceDE w:val="0"/>
        <w:autoSpaceDN w:val="0"/>
        <w:adjustRightInd w:val="0"/>
        <w:ind w:left="72"/>
        <w:rPr>
          <w:color w:val="000000"/>
        </w:rPr>
      </w:pPr>
      <w:r w:rsidRPr="00756384">
        <w:rPr>
          <w:color w:val="000000"/>
        </w:rPr>
        <w:t xml:space="preserve">Tier 2 project-level scoring remains the same with 3 criteria – CoC Application score, ranked position of the project application in Tier 2, and the project application’s commitment to Housing First.  </w:t>
      </w:r>
    </w:p>
    <w:p w:rsidR="00D738FC" w:rsidRPr="00756384" w:rsidRDefault="00D738FC" w:rsidP="00D738FC">
      <w:pPr>
        <w:autoSpaceDE w:val="0"/>
        <w:autoSpaceDN w:val="0"/>
        <w:adjustRightInd w:val="0"/>
        <w:ind w:left="72"/>
        <w:rPr>
          <w:b/>
          <w:u w:val="single"/>
        </w:rPr>
      </w:pPr>
      <w:r w:rsidRPr="00756384">
        <w:rPr>
          <w:color w:val="000000"/>
        </w:rPr>
        <w:t>Up to 50 pts CoC Score + 40 pts Rank number in Tier 2 + 10pts. Housing First project.</w:t>
      </w:r>
    </w:p>
    <w:p w:rsidR="00D738FC" w:rsidRPr="00756384" w:rsidRDefault="00D738FC" w:rsidP="00D738FC">
      <w:pPr>
        <w:ind w:left="72"/>
        <w:rPr>
          <w:color w:val="000000"/>
        </w:rPr>
      </w:pPr>
    </w:p>
    <w:p w:rsidR="00D738FC" w:rsidRPr="00756384" w:rsidRDefault="00D738FC" w:rsidP="00D738FC">
      <w:pPr>
        <w:rPr>
          <w:b/>
          <w:color w:val="000000"/>
          <w:u w:val="single"/>
        </w:rPr>
      </w:pPr>
      <w:r w:rsidRPr="00756384">
        <w:rPr>
          <w:b/>
          <w:color w:val="000000"/>
          <w:u w:val="single"/>
        </w:rPr>
        <w:t>NEW IN 2018!</w:t>
      </w:r>
    </w:p>
    <w:p w:rsidR="00D738FC" w:rsidRPr="00756384" w:rsidRDefault="00D738FC" w:rsidP="00D738FC">
      <w:pPr>
        <w:rPr>
          <w:b/>
          <w:color w:val="000000"/>
        </w:rPr>
      </w:pPr>
    </w:p>
    <w:p w:rsidR="00D738FC" w:rsidRDefault="00D738FC" w:rsidP="00D738FC">
      <w:pPr>
        <w:pStyle w:val="ListParagraph"/>
        <w:numPr>
          <w:ilvl w:val="0"/>
          <w:numId w:val="4"/>
        </w:numPr>
        <w:ind w:left="360"/>
        <w:rPr>
          <w:rStyle w:val="Emphasis"/>
          <w:i w:val="0"/>
          <w:iCs w:val="0"/>
        </w:rPr>
      </w:pPr>
      <w:r w:rsidRPr="00E127C7">
        <w:rPr>
          <w:rStyle w:val="Emphasis"/>
          <w:i w:val="0"/>
          <w:iCs w:val="0"/>
        </w:rPr>
        <w:t xml:space="preserve">New projects may be created using a combination of reallocation and regular </w:t>
      </w:r>
      <w:r>
        <w:rPr>
          <w:rStyle w:val="Emphasis"/>
          <w:i w:val="0"/>
          <w:iCs w:val="0"/>
        </w:rPr>
        <w:t>b</w:t>
      </w:r>
      <w:r w:rsidRPr="00E127C7">
        <w:rPr>
          <w:rStyle w:val="Emphasis"/>
          <w:i w:val="0"/>
          <w:iCs w:val="0"/>
        </w:rPr>
        <w:t>onus funds</w:t>
      </w:r>
      <w:r>
        <w:rPr>
          <w:rStyle w:val="Emphasis"/>
          <w:i w:val="0"/>
          <w:iCs w:val="0"/>
        </w:rPr>
        <w:t>.</w:t>
      </w:r>
      <w:r w:rsidR="00AD74C3">
        <w:rPr>
          <w:rStyle w:val="Emphasis"/>
          <w:i w:val="0"/>
          <w:iCs w:val="0"/>
        </w:rPr>
        <w:t xml:space="preserve"> </w:t>
      </w:r>
      <w:r w:rsidR="00AD74C3">
        <w:t>There are no designated Bonus or Reallocation projects, only New Projects created with these funds to the amount available.</w:t>
      </w:r>
    </w:p>
    <w:p w:rsidR="00D738FC" w:rsidRDefault="00D738FC" w:rsidP="00D738FC">
      <w:pPr>
        <w:pStyle w:val="ListParagraph"/>
        <w:numPr>
          <w:ilvl w:val="0"/>
          <w:numId w:val="4"/>
        </w:numPr>
        <w:ind w:left="360"/>
        <w:rPr>
          <w:rStyle w:val="Emphasis"/>
          <w:i w:val="0"/>
          <w:iCs w:val="0"/>
        </w:rPr>
      </w:pPr>
      <w:r>
        <w:rPr>
          <w:rStyle w:val="Emphasis"/>
          <w:i w:val="0"/>
          <w:iCs w:val="0"/>
        </w:rPr>
        <w:t>HUD is providing additional Domestic Violence project bonus funds equal to 10% of Preliminary Pro Rata Need to each CoC with a total of $50 million nationally.</w:t>
      </w:r>
    </w:p>
    <w:p w:rsidR="00D738FC" w:rsidRPr="00756384" w:rsidRDefault="00D738FC" w:rsidP="00D738FC">
      <w:pPr>
        <w:pStyle w:val="ListParagraph"/>
        <w:numPr>
          <w:ilvl w:val="0"/>
          <w:numId w:val="4"/>
        </w:numPr>
        <w:ind w:left="360"/>
      </w:pPr>
      <w:r w:rsidRPr="00E127C7">
        <w:rPr>
          <w:rStyle w:val="Emphasis"/>
          <w:b/>
        </w:rPr>
        <w:t>Consolidated Project</w:t>
      </w:r>
      <w:r w:rsidRPr="00756384">
        <w:rPr>
          <w:rStyle w:val="Emphasis"/>
        </w:rPr>
        <w:t>.</w:t>
      </w:r>
      <w:r w:rsidRPr="00756384">
        <w:t xml:space="preserve"> Eligible renewal project applicants will have the ability to consolidate two or more (limit of four) eligible renewal projects of the same component type into one project application during the application process. (Section II.B.4).  You must ensure the projects are eligible to be consolidated with the HUD Chicago Field Office.  </w:t>
      </w:r>
    </w:p>
    <w:p w:rsidR="00D738FC" w:rsidRPr="00756384" w:rsidRDefault="00D738FC" w:rsidP="00D738FC">
      <w:pPr>
        <w:pStyle w:val="ListParagraph"/>
        <w:numPr>
          <w:ilvl w:val="0"/>
          <w:numId w:val="1"/>
        </w:numPr>
        <w:autoSpaceDE w:val="0"/>
        <w:autoSpaceDN w:val="0"/>
        <w:adjustRightInd w:val="0"/>
        <w:rPr>
          <w:b/>
          <w:u w:val="single"/>
        </w:rPr>
      </w:pPr>
      <w:r w:rsidRPr="00756384">
        <w:rPr>
          <w:rStyle w:val="Emphasis"/>
          <w:b/>
        </w:rPr>
        <w:t>Transition Grants.</w:t>
      </w:r>
      <w:r w:rsidRPr="00756384">
        <w:t xml:space="preserve"> Project applicants can transition their existing renewal project(s) from one CoC Program Component to another during the CoC Program Competition using the funds to wind down the previous project while ramping up the new project. (Section II.B.2). The reallocation process must be used to eliminate the current project and reallocate it to the new project type. Conditions apply.</w:t>
      </w:r>
      <w:r>
        <w:t xml:space="preserve"> Examples: transition from a PSH to a Rapid Rehousing or a Transitional Housing to a Joint TH-RRH.</w:t>
      </w:r>
    </w:p>
    <w:p w:rsidR="00D738FC" w:rsidRPr="00756384" w:rsidRDefault="00D738FC" w:rsidP="00D738FC">
      <w:pPr>
        <w:pStyle w:val="ListParagraph"/>
        <w:numPr>
          <w:ilvl w:val="0"/>
          <w:numId w:val="1"/>
        </w:numPr>
        <w:autoSpaceDE w:val="0"/>
        <w:autoSpaceDN w:val="0"/>
        <w:adjustRightInd w:val="0"/>
        <w:rPr>
          <w:b/>
          <w:u w:val="single"/>
        </w:rPr>
      </w:pPr>
      <w:r w:rsidRPr="00756384">
        <w:rPr>
          <w:rStyle w:val="Emphasis"/>
          <w:b/>
        </w:rPr>
        <w:t>Expansion Grants.</w:t>
      </w:r>
      <w:r w:rsidRPr="00756384">
        <w:rPr>
          <w:b/>
          <w:u w:val="single"/>
        </w:rPr>
        <w:t xml:space="preserve"> </w:t>
      </w:r>
      <w:r w:rsidRPr="00756384">
        <w:t>A new project to expand the current operations of an existing project ( both HUD and non-HUD funded  - NEW) that will incorporate both projects into one grant agreement if selected.  Funds can include bonus, reallocation, or DV bonus</w:t>
      </w:r>
      <w:r>
        <w:t xml:space="preserve"> as long as the component type is same</w:t>
      </w:r>
      <w:r w:rsidRPr="00756384">
        <w:t>.</w:t>
      </w:r>
    </w:p>
    <w:p w:rsidR="00D738FC" w:rsidRPr="00756384" w:rsidRDefault="00D738FC" w:rsidP="00D738FC">
      <w:pPr>
        <w:pStyle w:val="ListParagraph"/>
        <w:numPr>
          <w:ilvl w:val="0"/>
          <w:numId w:val="1"/>
        </w:numPr>
        <w:autoSpaceDE w:val="0"/>
        <w:autoSpaceDN w:val="0"/>
        <w:adjustRightInd w:val="0"/>
        <w:rPr>
          <w:rStyle w:val="Emphasis"/>
          <w:b/>
          <w:i w:val="0"/>
          <w:iCs w:val="0"/>
          <w:u w:val="single"/>
        </w:rPr>
      </w:pPr>
      <w:r w:rsidRPr="00756384">
        <w:rPr>
          <w:rStyle w:val="Emphasis"/>
          <w:i w:val="0"/>
          <w:iCs w:val="0"/>
        </w:rPr>
        <w:t xml:space="preserve">Bonus funding is contingent on </w:t>
      </w:r>
      <w:r>
        <w:rPr>
          <w:rStyle w:val="Emphasis"/>
          <w:i w:val="0"/>
          <w:iCs w:val="0"/>
        </w:rPr>
        <w:t xml:space="preserve">the CoC </w:t>
      </w:r>
      <w:r w:rsidRPr="00756384">
        <w:rPr>
          <w:rStyle w:val="Emphasis"/>
          <w:i w:val="0"/>
          <w:iCs w:val="0"/>
        </w:rPr>
        <w:t>demonstrating reallocation.</w:t>
      </w:r>
    </w:p>
    <w:p w:rsidR="00D738FC" w:rsidRPr="00756384" w:rsidRDefault="00D738FC" w:rsidP="00D738FC">
      <w:pPr>
        <w:pStyle w:val="ListParagraph"/>
        <w:numPr>
          <w:ilvl w:val="0"/>
          <w:numId w:val="1"/>
        </w:numPr>
        <w:autoSpaceDE w:val="0"/>
        <w:autoSpaceDN w:val="0"/>
        <w:adjustRightInd w:val="0"/>
        <w:rPr>
          <w:rStyle w:val="Emphasis"/>
          <w:b/>
          <w:i w:val="0"/>
          <w:iCs w:val="0"/>
          <w:u w:val="single"/>
        </w:rPr>
      </w:pPr>
      <w:r w:rsidRPr="00756384">
        <w:rPr>
          <w:rStyle w:val="Emphasis"/>
          <w:i w:val="0"/>
          <w:iCs w:val="0"/>
        </w:rPr>
        <w:t>CoC Mergers are encouraged and bonus points are available for merging.</w:t>
      </w:r>
    </w:p>
    <w:p w:rsidR="00D738FC" w:rsidRDefault="00D738FC" w:rsidP="00D738FC">
      <w:pPr>
        <w:autoSpaceDE w:val="0"/>
        <w:autoSpaceDN w:val="0"/>
        <w:adjustRightInd w:val="0"/>
        <w:rPr>
          <w:b/>
          <w:u w:val="single"/>
        </w:rPr>
      </w:pPr>
    </w:p>
    <w:p w:rsidR="00D738FC" w:rsidRPr="00756384" w:rsidRDefault="00D738FC" w:rsidP="00D738FC">
      <w:pPr>
        <w:autoSpaceDE w:val="0"/>
        <w:autoSpaceDN w:val="0"/>
        <w:adjustRightInd w:val="0"/>
        <w:rPr>
          <w:b/>
          <w:u w:val="single"/>
        </w:rPr>
      </w:pPr>
    </w:p>
    <w:p w:rsidR="00D738FC" w:rsidRPr="00756384" w:rsidRDefault="00D738FC" w:rsidP="00D738FC">
      <w:pPr>
        <w:autoSpaceDE w:val="0"/>
        <w:autoSpaceDN w:val="0"/>
        <w:adjustRightInd w:val="0"/>
        <w:rPr>
          <w:b/>
          <w:u w:val="single"/>
        </w:rPr>
      </w:pPr>
      <w:r w:rsidRPr="00756384">
        <w:rPr>
          <w:b/>
          <w:u w:val="single"/>
        </w:rPr>
        <w:t>ELECTRONIC SUBMISSION</w:t>
      </w:r>
    </w:p>
    <w:p w:rsidR="00D738FC" w:rsidRPr="00756384" w:rsidRDefault="00D738FC" w:rsidP="00D738FC">
      <w:pPr>
        <w:pStyle w:val="NormalWeb"/>
        <w:spacing w:before="0" w:beforeAutospacing="0" w:after="0" w:afterAutospacing="0"/>
        <w:rPr>
          <w:sz w:val="22"/>
          <w:szCs w:val="22"/>
        </w:rPr>
      </w:pPr>
      <w:r w:rsidRPr="00756384">
        <w:rPr>
          <w:sz w:val="22"/>
          <w:szCs w:val="22"/>
        </w:rPr>
        <w:t xml:space="preserve">Access esnaps login at  </w:t>
      </w:r>
      <w:hyperlink r:id="rId12" w:history="1">
        <w:r w:rsidRPr="00756384">
          <w:rPr>
            <w:rStyle w:val="Hyperlink"/>
            <w:sz w:val="22"/>
            <w:szCs w:val="22"/>
          </w:rPr>
          <w:t>https://www.hudexchange.info/e-snaps/</w:t>
        </w:r>
      </w:hyperlink>
    </w:p>
    <w:p w:rsidR="00D738FC" w:rsidRPr="00756384" w:rsidRDefault="00D738FC" w:rsidP="00D738FC">
      <w:pPr>
        <w:pStyle w:val="NormalWeb"/>
        <w:spacing w:before="0" w:beforeAutospacing="0" w:after="0" w:afterAutospacing="0"/>
        <w:rPr>
          <w:sz w:val="22"/>
          <w:szCs w:val="22"/>
        </w:rPr>
      </w:pPr>
      <w:r w:rsidRPr="00756384">
        <w:rPr>
          <w:sz w:val="22"/>
          <w:szCs w:val="22"/>
        </w:rPr>
        <w:t>.</w:t>
      </w:r>
    </w:p>
    <w:p w:rsidR="00D738FC" w:rsidRPr="00756384" w:rsidRDefault="00D738FC" w:rsidP="00D738FC">
      <w:pPr>
        <w:pStyle w:val="NormalWeb"/>
        <w:spacing w:before="0" w:beforeAutospacing="0" w:after="0" w:afterAutospacing="0"/>
        <w:rPr>
          <w:sz w:val="22"/>
          <w:szCs w:val="22"/>
        </w:rPr>
      </w:pPr>
      <w:r w:rsidRPr="00756384">
        <w:rPr>
          <w:sz w:val="22"/>
          <w:szCs w:val="22"/>
        </w:rPr>
        <w:t xml:space="preserve">The CoC submits the entire funding application. </w:t>
      </w:r>
    </w:p>
    <w:p w:rsidR="00D738FC" w:rsidRDefault="00D738FC" w:rsidP="00D738FC">
      <w:pPr>
        <w:pStyle w:val="NormalWeb"/>
        <w:rPr>
          <w:sz w:val="22"/>
          <w:szCs w:val="22"/>
        </w:rPr>
      </w:pPr>
      <w:r w:rsidRPr="00756384">
        <w:rPr>
          <w:sz w:val="22"/>
          <w:szCs w:val="22"/>
        </w:rPr>
        <w:lastRenderedPageBreak/>
        <w:t xml:space="preserve">Each project applicant will submit a template for review </w:t>
      </w:r>
      <w:r>
        <w:rPr>
          <w:sz w:val="22"/>
          <w:szCs w:val="22"/>
        </w:rPr>
        <w:t xml:space="preserve">by the internal deadline </w:t>
      </w:r>
      <w:r w:rsidRPr="00756384">
        <w:rPr>
          <w:sz w:val="22"/>
          <w:szCs w:val="22"/>
        </w:rPr>
        <w:t xml:space="preserve">prior to completing and submitting their Project Applications through </w:t>
      </w:r>
      <w:r w:rsidRPr="00756384">
        <w:rPr>
          <w:rStyle w:val="Emphasis"/>
          <w:sz w:val="22"/>
          <w:szCs w:val="22"/>
        </w:rPr>
        <w:t>e-snaps</w:t>
      </w:r>
      <w:r w:rsidRPr="00756384">
        <w:rPr>
          <w:sz w:val="22"/>
          <w:szCs w:val="22"/>
        </w:rPr>
        <w:t xml:space="preserve"> to the CoC for final review. Applicants will be notified by the CoC of corrections to be made.  This will reduce errors in the esnaps submission since returning them from esnaps is an inefficient process.</w:t>
      </w:r>
      <w:r>
        <w:rPr>
          <w:sz w:val="22"/>
          <w:szCs w:val="22"/>
        </w:rPr>
        <w:t xml:space="preserve"> </w:t>
      </w:r>
    </w:p>
    <w:p w:rsidR="00D738FC" w:rsidRPr="00756384" w:rsidRDefault="00D738FC" w:rsidP="00D738FC">
      <w:pPr>
        <w:pStyle w:val="NormalWeb"/>
        <w:rPr>
          <w:sz w:val="22"/>
          <w:szCs w:val="22"/>
        </w:rPr>
      </w:pPr>
      <w:r>
        <w:rPr>
          <w:sz w:val="22"/>
          <w:szCs w:val="22"/>
        </w:rPr>
        <w:t xml:space="preserve">Esnaps submission may be no later than 30 days before the HUD deadline. </w:t>
      </w:r>
      <w:r w:rsidRPr="00756384">
        <w:rPr>
          <w:sz w:val="22"/>
          <w:szCs w:val="22"/>
        </w:rPr>
        <w:t xml:space="preserve">The CoC will view each Project Application again through </w:t>
      </w:r>
      <w:r w:rsidRPr="00756384">
        <w:rPr>
          <w:rStyle w:val="Emphasis"/>
          <w:i w:val="0"/>
          <w:sz w:val="22"/>
          <w:szCs w:val="22"/>
        </w:rPr>
        <w:t>e-snaps to ensure it is correct</w:t>
      </w:r>
      <w:r w:rsidRPr="00756384">
        <w:rPr>
          <w:sz w:val="22"/>
          <w:szCs w:val="22"/>
        </w:rPr>
        <w:t xml:space="preserve"> and then submit the entire package together. </w:t>
      </w:r>
    </w:p>
    <w:p w:rsidR="00D738FC" w:rsidRPr="00756384" w:rsidRDefault="00D738FC" w:rsidP="00D738FC">
      <w:r w:rsidRPr="00AC3276">
        <w:rPr>
          <w:b/>
        </w:rPr>
        <w:t xml:space="preserve">There will be an APPLICATION WORKSHOP scheduled for Tuesday, July 17, 2018  at </w:t>
      </w:r>
      <w:r w:rsidRPr="00AC3276">
        <w:t>1:30 pm. – 3:30 pm., Kane County Government Center, 719 Batavia Ave., Geneva, IL Ground Floor auditorium.</w:t>
      </w:r>
      <w:r w:rsidRPr="00756384">
        <w:t xml:space="preserve">  </w:t>
      </w:r>
    </w:p>
    <w:p w:rsidR="00D738FC" w:rsidRPr="00756384" w:rsidRDefault="00D738FC" w:rsidP="00D738FC"/>
    <w:p w:rsidR="00D738FC" w:rsidRPr="00756384" w:rsidRDefault="00D738FC" w:rsidP="00D738FC">
      <w:r w:rsidRPr="00756384">
        <w:t xml:space="preserve"> The </w:t>
      </w:r>
      <w:r w:rsidRPr="00756384">
        <w:rPr>
          <w:b/>
        </w:rPr>
        <w:t>APPLICATION WORKSHOP</w:t>
      </w:r>
      <w:r w:rsidRPr="00756384">
        <w:t xml:space="preserve"> will walk you through the esnaps project submission process if you are not familiar with the process.  The person who will be inputting the application should be there! There are changes to the project application screens in 2018 related to transition projects</w:t>
      </w:r>
      <w:r>
        <w:t xml:space="preserve">, </w:t>
      </w:r>
      <w:r w:rsidRPr="00756384">
        <w:t>consolidation projects</w:t>
      </w:r>
      <w:r>
        <w:t xml:space="preserve"> and new projects</w:t>
      </w:r>
      <w:r w:rsidRPr="00756384">
        <w:t xml:space="preserve">. There are training modules dedicated to completing all forms.  Please review them before the training. The modules are available </w:t>
      </w:r>
    </w:p>
    <w:p w:rsidR="00D738FC" w:rsidRDefault="0052595C" w:rsidP="00D738FC">
      <w:pPr>
        <w:pStyle w:val="NormalWeb"/>
        <w:spacing w:line="270" w:lineRule="atLeast"/>
      </w:pPr>
      <w:hyperlink r:id="rId13" w:anchor="coc-program-competition--project-applicants" w:history="1">
        <w:r w:rsidR="00D738FC" w:rsidRPr="00756384">
          <w:rPr>
            <w:rStyle w:val="Hyperlink"/>
            <w:sz w:val="22"/>
            <w:szCs w:val="22"/>
          </w:rPr>
          <w:t>https://www.hudexchange.info/programs/e-snaps/guides/coc-program-competition-resources/#coc-program-competition--project-applicants</w:t>
        </w:r>
      </w:hyperlink>
    </w:p>
    <w:p w:rsidR="00FE21DC" w:rsidRDefault="0052595C" w:rsidP="00D738FC">
      <w:pPr>
        <w:pStyle w:val="NormalWeb"/>
        <w:spacing w:line="270" w:lineRule="atLeast"/>
        <w:rPr>
          <w:sz w:val="22"/>
          <w:szCs w:val="22"/>
        </w:rPr>
      </w:pPr>
      <w:hyperlink r:id="rId14" w:history="1">
        <w:r w:rsidR="00FE21DC" w:rsidRPr="007E6410">
          <w:rPr>
            <w:rStyle w:val="Hyperlink"/>
            <w:sz w:val="22"/>
            <w:szCs w:val="22"/>
          </w:rPr>
          <w:t>https://www.hudexchange.info/programs/e-snaps/</w:t>
        </w:r>
      </w:hyperlink>
    </w:p>
    <w:p w:rsidR="00FE21DC" w:rsidRPr="00756384" w:rsidRDefault="00FE21DC" w:rsidP="00D738FC">
      <w:pPr>
        <w:pStyle w:val="NormalWeb"/>
        <w:spacing w:line="270" w:lineRule="atLeast"/>
        <w:rPr>
          <w:sz w:val="22"/>
          <w:szCs w:val="22"/>
        </w:rPr>
      </w:pPr>
    </w:p>
    <w:p w:rsidR="00D738FC" w:rsidRPr="00756384" w:rsidRDefault="00D738FC" w:rsidP="00D738FC"/>
    <w:p w:rsidR="00D738FC" w:rsidRPr="00756384" w:rsidRDefault="00D738FC" w:rsidP="00D738FC">
      <w:r w:rsidRPr="00756384">
        <w:t xml:space="preserve">Specific questions may be asked at </w:t>
      </w:r>
      <w:hyperlink r:id="rId15" w:history="1">
        <w:r w:rsidRPr="00756384">
          <w:rPr>
            <w:rStyle w:val="Hyperlink"/>
          </w:rPr>
          <w:t>https://www.hudexchange.info/get-assistance/my-question/</w:t>
        </w:r>
      </w:hyperlink>
    </w:p>
    <w:p w:rsidR="00D738FC" w:rsidRPr="00756384" w:rsidRDefault="00D738FC" w:rsidP="00D738FC"/>
    <w:p w:rsidR="00D738FC" w:rsidRPr="00756384" w:rsidRDefault="00D738FC" w:rsidP="00D738FC"/>
    <w:p w:rsidR="00D738FC" w:rsidRPr="00756384" w:rsidRDefault="00D738FC" w:rsidP="00D738FC"/>
    <w:p w:rsidR="00D738FC" w:rsidRPr="00756384" w:rsidRDefault="00D738FC" w:rsidP="00D738FC"/>
    <w:p w:rsidR="00D738FC" w:rsidRPr="00756384" w:rsidRDefault="00D738FC" w:rsidP="00D738FC"/>
    <w:p w:rsidR="00D738FC" w:rsidRPr="00756384" w:rsidRDefault="00D738FC" w:rsidP="00D738FC"/>
    <w:p w:rsidR="007826C3" w:rsidRDefault="007826C3"/>
    <w:sectPr w:rsidR="007826C3" w:rsidSect="00E96285">
      <w:footerReference w:type="even" r:id="rId16"/>
      <w:footerReference w:type="default" r:id="rId17"/>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FC4" w:rsidRDefault="00F13FC4" w:rsidP="00D70D29">
      <w:r>
        <w:separator/>
      </w:r>
    </w:p>
  </w:endnote>
  <w:endnote w:type="continuationSeparator" w:id="1">
    <w:p w:rsidR="00F13FC4" w:rsidRDefault="00F13FC4" w:rsidP="00D70D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CD3" w:rsidRDefault="0052595C" w:rsidP="00E96285">
    <w:pPr>
      <w:pStyle w:val="Footer"/>
      <w:framePr w:wrap="around" w:vAnchor="text" w:hAnchor="margin" w:xAlign="center" w:y="1"/>
      <w:rPr>
        <w:rStyle w:val="PageNumber"/>
      </w:rPr>
    </w:pPr>
    <w:r>
      <w:rPr>
        <w:rStyle w:val="PageNumber"/>
      </w:rPr>
      <w:fldChar w:fldCharType="begin"/>
    </w:r>
    <w:r w:rsidR="00D738FC">
      <w:rPr>
        <w:rStyle w:val="PageNumber"/>
      </w:rPr>
      <w:instrText xml:space="preserve">PAGE  </w:instrText>
    </w:r>
    <w:r>
      <w:rPr>
        <w:rStyle w:val="PageNumber"/>
      </w:rPr>
      <w:fldChar w:fldCharType="end"/>
    </w:r>
  </w:p>
  <w:p w:rsidR="007E5CD3" w:rsidRDefault="00F13F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CD3" w:rsidRDefault="0052595C" w:rsidP="00E96285">
    <w:pPr>
      <w:pStyle w:val="Footer"/>
      <w:framePr w:wrap="around" w:vAnchor="text" w:hAnchor="margin" w:xAlign="center" w:y="1"/>
      <w:rPr>
        <w:rStyle w:val="PageNumber"/>
      </w:rPr>
    </w:pPr>
    <w:r>
      <w:rPr>
        <w:rStyle w:val="PageNumber"/>
      </w:rPr>
      <w:fldChar w:fldCharType="begin"/>
    </w:r>
    <w:r w:rsidR="00D738FC">
      <w:rPr>
        <w:rStyle w:val="PageNumber"/>
      </w:rPr>
      <w:instrText xml:space="preserve">PAGE  </w:instrText>
    </w:r>
    <w:r>
      <w:rPr>
        <w:rStyle w:val="PageNumber"/>
      </w:rPr>
      <w:fldChar w:fldCharType="separate"/>
    </w:r>
    <w:r w:rsidR="006F732B">
      <w:rPr>
        <w:rStyle w:val="PageNumber"/>
        <w:noProof/>
      </w:rPr>
      <w:t>3</w:t>
    </w:r>
    <w:r>
      <w:rPr>
        <w:rStyle w:val="PageNumber"/>
      </w:rPr>
      <w:fldChar w:fldCharType="end"/>
    </w:r>
  </w:p>
  <w:p w:rsidR="007E5CD3" w:rsidRDefault="00F13F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FC4" w:rsidRDefault="00F13FC4" w:rsidP="00D70D29">
      <w:r>
        <w:separator/>
      </w:r>
    </w:p>
  </w:footnote>
  <w:footnote w:type="continuationSeparator" w:id="1">
    <w:p w:rsidR="00F13FC4" w:rsidRDefault="00F13FC4" w:rsidP="00D70D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025BB"/>
    <w:multiLevelType w:val="hybridMultilevel"/>
    <w:tmpl w:val="7E12E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54B3B"/>
    <w:multiLevelType w:val="hybridMultilevel"/>
    <w:tmpl w:val="CEDE91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644E4E77"/>
    <w:multiLevelType w:val="hybridMultilevel"/>
    <w:tmpl w:val="F4A03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384F1B"/>
    <w:multiLevelType w:val="hybridMultilevel"/>
    <w:tmpl w:val="291A35DE"/>
    <w:lvl w:ilvl="0" w:tplc="5E929166">
      <w:start w:val="1"/>
      <w:numFmt w:val="bullet"/>
      <w:lvlText w:val=""/>
      <w:lvlJc w:val="left"/>
      <w:pPr>
        <w:tabs>
          <w:tab w:val="num" w:pos="360"/>
        </w:tabs>
        <w:ind w:left="36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738FC"/>
    <w:rsid w:val="00083C5C"/>
    <w:rsid w:val="00101767"/>
    <w:rsid w:val="00107443"/>
    <w:rsid w:val="00113E7D"/>
    <w:rsid w:val="00214CD2"/>
    <w:rsid w:val="0027060D"/>
    <w:rsid w:val="002C6D4D"/>
    <w:rsid w:val="00366196"/>
    <w:rsid w:val="003C06C5"/>
    <w:rsid w:val="0052595C"/>
    <w:rsid w:val="006F732B"/>
    <w:rsid w:val="007826C3"/>
    <w:rsid w:val="008607B9"/>
    <w:rsid w:val="008C52BD"/>
    <w:rsid w:val="008F5D81"/>
    <w:rsid w:val="00AD74C3"/>
    <w:rsid w:val="00B44B24"/>
    <w:rsid w:val="00BF318C"/>
    <w:rsid w:val="00C80108"/>
    <w:rsid w:val="00D70D29"/>
    <w:rsid w:val="00D738FC"/>
    <w:rsid w:val="00F13FC4"/>
    <w:rsid w:val="00FE2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8FC"/>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738FC"/>
    <w:rPr>
      <w:color w:val="0000FF"/>
      <w:u w:val="single"/>
    </w:rPr>
  </w:style>
  <w:style w:type="paragraph" w:styleId="Footer">
    <w:name w:val="footer"/>
    <w:basedOn w:val="Normal"/>
    <w:link w:val="FooterChar"/>
    <w:rsid w:val="00D738FC"/>
    <w:pPr>
      <w:tabs>
        <w:tab w:val="center" w:pos="4320"/>
        <w:tab w:val="right" w:pos="8640"/>
      </w:tabs>
    </w:pPr>
  </w:style>
  <w:style w:type="character" w:customStyle="1" w:styleId="FooterChar">
    <w:name w:val="Footer Char"/>
    <w:basedOn w:val="DefaultParagraphFont"/>
    <w:link w:val="Footer"/>
    <w:rsid w:val="00D738FC"/>
    <w:rPr>
      <w:rFonts w:ascii="Times New Roman" w:eastAsia="Times New Roman" w:hAnsi="Times New Roman" w:cs="Times New Roman"/>
    </w:rPr>
  </w:style>
  <w:style w:type="character" w:styleId="PageNumber">
    <w:name w:val="page number"/>
    <w:basedOn w:val="DefaultParagraphFont"/>
    <w:rsid w:val="00D738FC"/>
  </w:style>
  <w:style w:type="character" w:styleId="Emphasis">
    <w:name w:val="Emphasis"/>
    <w:basedOn w:val="DefaultParagraphFont"/>
    <w:uiPriority w:val="20"/>
    <w:qFormat/>
    <w:rsid w:val="00D738FC"/>
    <w:rPr>
      <w:i/>
      <w:iCs/>
    </w:rPr>
  </w:style>
  <w:style w:type="paragraph" w:styleId="NormalWeb">
    <w:name w:val="Normal (Web)"/>
    <w:basedOn w:val="Normal"/>
    <w:uiPriority w:val="99"/>
    <w:rsid w:val="00D738FC"/>
    <w:pPr>
      <w:spacing w:before="100" w:beforeAutospacing="1" w:after="100" w:afterAutospacing="1"/>
    </w:pPr>
    <w:rPr>
      <w:sz w:val="24"/>
      <w:szCs w:val="24"/>
    </w:rPr>
  </w:style>
  <w:style w:type="paragraph" w:styleId="ListParagraph">
    <w:name w:val="List Paragraph"/>
    <w:basedOn w:val="Normal"/>
    <w:uiPriority w:val="34"/>
    <w:qFormat/>
    <w:rsid w:val="00D738FC"/>
    <w:pPr>
      <w:ind w:left="720"/>
      <w:contextualSpacing/>
    </w:pPr>
  </w:style>
  <w:style w:type="character" w:styleId="FollowedHyperlink">
    <w:name w:val="FollowedHyperlink"/>
    <w:basedOn w:val="DefaultParagraphFont"/>
    <w:uiPriority w:val="99"/>
    <w:semiHidden/>
    <w:unhideWhenUsed/>
    <w:rsid w:val="00FE21D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udexchange.us5.list-manage.com/track/click?u=87d7c8afc03ba69ee70d865b9&amp;id=370f5af444&amp;e=b7eb783c00" TargetMode="External"/><Relationship Id="rId13" Type="http://schemas.openxmlformats.org/officeDocument/2006/relationships/hyperlink" Target="https://www.hudexchange.info/programs/e-snaps/guides/coc-program-competition-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udexchange.us5.list-manage.com/track/click?u=87d7c8afc03ba69ee70d865b9&amp;id=60580c886a&amp;e=b7eb783c00" TargetMode="External"/><Relationship Id="rId12" Type="http://schemas.openxmlformats.org/officeDocument/2006/relationships/hyperlink" Target="https://www.hudexchange.info/e-snap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udexchange.us5.list-manage.com/track/click?u=87d7c8afc03ba69ee70d865b9&amp;id=3ec4215a95&amp;e=b7eb783c00" TargetMode="External"/><Relationship Id="rId5" Type="http://schemas.openxmlformats.org/officeDocument/2006/relationships/footnotes" Target="footnotes.xml"/><Relationship Id="rId15" Type="http://schemas.openxmlformats.org/officeDocument/2006/relationships/hyperlink" Target="https://www.hudexchange.info/get-assistance/my-question/" TargetMode="External"/><Relationship Id="rId10" Type="http://schemas.openxmlformats.org/officeDocument/2006/relationships/hyperlink" Target="https://hudexchange.us5.list-manage.com/track/click?u=87d7c8afc03ba69ee70d865b9&amp;id=474f2dd6d6&amp;e=b7eb783c0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hudexchange.us5.list-manage.com/track/click?u=87d7c8afc03ba69ee70d865b9&amp;id=08baadf313&amp;e=b7eb783c00" TargetMode="External"/><Relationship Id="rId14" Type="http://schemas.openxmlformats.org/officeDocument/2006/relationships/hyperlink" Target="https://www.hudexchange.info/programs/e-sna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1322</Words>
  <Characters>7538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dc:creator>
  <cp:lastModifiedBy>Peg</cp:lastModifiedBy>
  <cp:revision>2</cp:revision>
  <dcterms:created xsi:type="dcterms:W3CDTF">2018-07-05T18:24:00Z</dcterms:created>
  <dcterms:modified xsi:type="dcterms:W3CDTF">2018-07-05T18:24:00Z</dcterms:modified>
</cp:coreProperties>
</file>